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INTERNET &amp; MOBILE ALLOWANCE POLICY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Policy No.: </w:t>
      </w:r>
      <w:r>
        <w:rPr>
          <w:rFonts w:ascii="Arial" w:cs="Arial" w:eastAsia="Arial" w:hAnsi="Arial"/>
          <w:sz w:val="22"/>
          <w:szCs w:val="22"/>
        </w:rPr>
        <w:t xml:space="preserve">BLT-FIN-IMA-001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Effective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support remote/hybrid employees with reliable internet and communication tools through a monthly allowance.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Allowance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2000"/>
        <w:gridCol w:w="18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 / Role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Internet /month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Mobile /month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WFH / Remote Employee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[Amount]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[Amount]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[Total]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Hybrid Employee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[Amount]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[Amount]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[Total]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On-site Employee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Not Applicable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[Amount]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[Total]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Manager / Senior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[Amount]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[Amount]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INR [Total]</w:t>
            </w:r>
          </w:p>
        </w:tc>
      </w:tr>
    </w:tbl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Claim Process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Allowance paid monthly as part of salary, OR claim reimbursement by submitting bills by 25th of month.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Bills must show employee name, service period, and amount.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GST on Internet Bills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Internet bills in company name with GSTIN are eligible for GST ITC.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Allowance paid only for months of active employment.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Allowance during leave of absence may be prorated at management discretion.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Finance / HR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2026-02-25T02:29:05.418Z</dcterms:created>
  <dcterms:modified xsi:type="dcterms:W3CDTF">2026-02-25T02:29:05.418Z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