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GST FILING CHECKLIST (Company)</w:t>
      </w:r>
    </w:p>
    <w:p>
      <w:pPr>
        <w:spacing w:after="200"/>
        <w:jc w:val="center"/>
      </w:pPr>
      <w:r>
        <w:rPr>
          <w:rFonts w:ascii="Arial" w:cs="Arial" w:eastAsia="Arial" w:hAnsi="Arial"/>
          <w:color w:val="C62828"/>
          <w:sz w:val="20"/>
          <w:szCs w:val="20"/>
        </w:rPr>
        <w:t xml:space="preserve">For Knowledge Reference — Work with your CA/GST Consultant for actual filing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Company GSTIN: </w:t>
      </w:r>
      <w:r>
        <w:rPr>
          <w:rFonts w:ascii="Arial" w:cs="Arial" w:eastAsia="Arial" w:hAnsi="Arial"/>
          <w:sz w:val="22"/>
          <w:szCs w:val="22"/>
        </w:rPr>
        <w:t xml:space="preserve">[GSTIN]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Financial Year: </w:t>
      </w:r>
      <w:r>
        <w:rPr>
          <w:rFonts w:ascii="Arial" w:cs="Arial" w:eastAsia="Arial" w:hAnsi="Arial"/>
          <w:sz w:val="22"/>
          <w:szCs w:val="22"/>
        </w:rPr>
        <w:t xml:space="preserve">[FY 20__-20__]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Prepared By: </w:t>
      </w:r>
      <w:r>
        <w:rPr>
          <w:rFonts w:ascii="Arial" w:cs="Arial" w:eastAsia="Arial" w:hAnsi="Arial"/>
          <w:sz w:val="22"/>
          <w:szCs w:val="22"/>
        </w:rPr>
        <w:t xml:space="preserve">[Finance / CA Name]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1. Monthly / Quarterly Filing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200"/>
        <w:gridCol w:w="2000"/>
        <w:gridCol w:w="11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Return / Task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Due Date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Responsibility</w:t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Done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GSTR-1: Outward supply (sales invoices)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11th of following month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 / Finance</w:t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GSTR-3B: Monthly summary return + tax payment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20th of following month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 / Finance</w:t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GSTR-2B: Auto-generated purchase credit statement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Available 14th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Finance to review</w:t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ITC Reconciliation (GSTR-2B vs Books)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Before 20th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Finance</w:t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E-way Bill generation (if goods movement &gt; INR 50k)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Before dispatch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Operations</w:t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Payment of GST liability (CGST/SGST/IGST)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20th of following month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Finance</w:t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</w:t>
            </w:r>
          </w:p>
        </w:tc>
      </w:tr>
    </w:tbl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2. Annual / Quarterly Filing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200"/>
        <w:gridCol w:w="2000"/>
        <w:gridCol w:w="11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Return / Task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Due Date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Responsibility</w:t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Done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GSTR-9: Annual Return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31st December of next FY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</w:t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GSTR-9C: Reconciliation Statement (if turnover &gt; INR 5 Cr)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31st December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</w:t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Annual ITC review and reconciliation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March/April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 / Finance</w:t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Review HSN/SAC codes on all invoices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Quarterly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Finance</w:t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GST Registration update (address, signatories)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On change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Finance</w:t>
            </w:r>
          </w:p>
        </w:tc>
        <w:tc>
          <w:tcPr>
            <w:tcW w:type="dxa" w:w="1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</w:t>
            </w:r>
          </w:p>
        </w:tc>
      </w:tr>
    </w:tbl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3. ITC (Input Tax Credit) Checklist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 purchase invoices have supplier GSTIN, date, HSN/SAC, and GST breakup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Invoices in company name with company GSTIN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ITC claimed only on business-use purchases (not personal/blocked credits)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ITC on blocked credits (Section 17(5)) NOT claimed: motor vehicles, food, club membership, etc.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E-invoicing compliance (if applicable based on turnover)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Reverse Charge Mechanism (RCM) tracked and paid for applicable services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4. Common GST Mistakes to Avoid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Claiming ITC on personal expenses or blocked credit items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Mismatch between GSTR-1 and books — always reconcile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Missing the filing deadline — attract interest (18% p.a.) and late fee (INR 50/day)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Wrong GSTIN on purchase invoices — ITC cannot be claimed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Not filing NIL return when no transactions in a period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Note: GST law is complex and subject to frequent amendments. Always work with a qualified GST consultant or CA for actual filing. This checklist is for internal reference only.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2026-02-24T13:56:27.394Z</dcterms:created>
  <dcterms:modified xsi:type="dcterms:W3CDTF">2026-02-24T13:56:27.394Z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