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ITR FILING REFERENCE GUIDE FOR EMPLOYEES</w:t>
      </w:r>
    </w:p>
    <w:p>
      <w:pPr>
        <w:spacing w:after="200"/>
        <w:jc w:val="center"/>
      </w:pPr>
      <w:r>
        <w:rPr>
          <w:rFonts w:ascii="Arial" w:cs="Arial" w:eastAsia="Arial" w:hAnsi="Arial"/>
          <w:color w:val="C62828"/>
          <w:sz w:val="20"/>
          <w:szCs w:val="20"/>
        </w:rPr>
        <w:t xml:space="preserve">For Knowledge &amp; Reference Only — Consult a CA for personalized advice</w:t>
      </w:r>
    </w:p>
    <w:p>
      <w:pPr>
        <w:spacing w:after="100"/>
      </w:pPr>
    </w:p>
    <w:p>
      <w:pPr>
        <w:spacing w:before="200" w:after="80"/>
      </w:pPr>
      <w:r>
        <w:rPr>
          <w:rFonts w:ascii="Arial" w:cs="Arial" w:eastAsia="Arial" w:hAnsi="Arial"/>
          <w:b/>
          <w:bCs/>
          <w:color w:val="3949AB"/>
          <w:sz w:val="24"/>
          <w:szCs w:val="24"/>
        </w:rPr>
        <w:t xml:space="preserve">1. What is ITR?</w:t>
      </w:r>
    </w:p>
    <w:p>
      <w:pPr>
        <w:spacing w:after="120"/>
      </w:pPr>
      <w:r>
        <w:rPr>
          <w:rFonts w:ascii="Arial" w:cs="Arial" w:eastAsia="Arial" w:hAnsi="Arial"/>
          <w:sz w:val="22"/>
          <w:szCs w:val="22"/>
        </w:rPr>
        <w:t xml:space="preserve">Income Tax Return (ITR) is a form filed with the Income Tax Department of India to report your annual income, deductions, and tax paid. Filing ITR is mandatory if your annual income exceeds the basic exemption limit (INR 2.5 lakhs / INR 3 lakhs for 60+).</w:t>
      </w:r>
    </w:p>
    <w:p>
      <w:pPr>
        <w:spacing w:after="100"/>
      </w:pPr>
    </w:p>
    <w:p>
      <w:pPr>
        <w:spacing w:before="200" w:after="80"/>
      </w:pPr>
      <w:r>
        <w:rPr>
          <w:rFonts w:ascii="Arial" w:cs="Arial" w:eastAsia="Arial" w:hAnsi="Arial"/>
          <w:b/>
          <w:bCs/>
          <w:color w:val="3949AB"/>
          <w:sz w:val="24"/>
          <w:szCs w:val="24"/>
        </w:rPr>
        <w:t xml:space="preserve">2. Which ITR Form to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Form</w:t>
            </w:r>
          </w:p>
        </w:tc>
        <w:tc>
          <w:tcPr>
            <w:tcW w:type="dxa" w:w="756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Applicable For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ITR-1 (Sahaj)</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Salaried individuals with income up to INR 50 lakhs from salary + one house property + other sources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ITR-2</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Individuals/HUF with capital gains, multiple house properties, foreign income, or salary &gt; 50 lakhs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ITR-3</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Individuals with income from business/profession (freelancers, consultants)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ITR-4 (Sugam)</w:t>
            </w:r>
          </w:p>
        </w:tc>
        <w:tc>
          <w:tcPr>
            <w:tcW w:type="dxa" w:w="7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Individuals with presumptive income from business (Section 44AD/44ADA) up to INR 2 crore</w:t>
            </w:r>
          </w:p>
        </w:tc>
      </w:tr>
    </w:tbl>
    <w:p>
      <w:pPr>
        <w:spacing w:after="100"/>
      </w:pPr>
    </w:p>
    <w:p>
      <w:pPr>
        <w:spacing w:before="200" w:after="80"/>
      </w:pPr>
      <w:r>
        <w:rPr>
          <w:rFonts w:ascii="Arial" w:cs="Arial" w:eastAsia="Arial" w:hAnsi="Arial"/>
          <w:b/>
          <w:bCs/>
          <w:color w:val="3949AB"/>
          <w:sz w:val="24"/>
          <w:szCs w:val="24"/>
        </w:rPr>
        <w:t xml:space="preserve">3. Important Documents for ITR Filing</w:t>
      </w:r>
    </w:p>
    <w:p>
      <w:pPr>
        <w:pStyle w:val="ListParagraph"/>
        <w:numPr>
          <w:ilvl w:val="0"/>
          <w:numId w:val="2"/>
        </w:numPr>
        <w:spacing w:after="80"/>
      </w:pPr>
      <w:r>
        <w:rPr>
          <w:rFonts w:ascii="Arial" w:cs="Arial" w:eastAsia="Arial" w:hAnsi="Arial"/>
          <w:sz w:val="22"/>
          <w:szCs w:val="22"/>
        </w:rPr>
        <w:t xml:space="preserve">Form 16 / 16A: Issued by employer — shows TDS deducted and salary breakup</w:t>
      </w:r>
    </w:p>
    <w:p>
      <w:pPr>
        <w:pStyle w:val="ListParagraph"/>
        <w:numPr>
          <w:ilvl w:val="0"/>
          <w:numId w:val="2"/>
        </w:numPr>
        <w:spacing w:after="80"/>
      </w:pPr>
      <w:r>
        <w:rPr>
          <w:rFonts w:ascii="Arial" w:cs="Arial" w:eastAsia="Arial" w:hAnsi="Arial"/>
          <w:sz w:val="22"/>
          <w:szCs w:val="22"/>
        </w:rPr>
        <w:t xml:space="preserve">PAN Card and Aadhaar Card</w:t>
      </w:r>
    </w:p>
    <w:p>
      <w:pPr>
        <w:pStyle w:val="ListParagraph"/>
        <w:numPr>
          <w:ilvl w:val="0"/>
          <w:numId w:val="2"/>
        </w:numPr>
        <w:spacing w:after="80"/>
      </w:pPr>
      <w:r>
        <w:rPr>
          <w:rFonts w:ascii="Arial" w:cs="Arial" w:eastAsia="Arial" w:hAnsi="Arial"/>
          <w:sz w:val="22"/>
          <w:szCs w:val="22"/>
        </w:rPr>
        <w:t xml:space="preserve">Form 26AS / Annual Information Statement (AIS) — download from IT portal</w:t>
      </w:r>
    </w:p>
    <w:p>
      <w:pPr>
        <w:pStyle w:val="ListParagraph"/>
        <w:numPr>
          <w:ilvl w:val="0"/>
          <w:numId w:val="2"/>
        </w:numPr>
        <w:spacing w:after="80"/>
      </w:pPr>
      <w:r>
        <w:rPr>
          <w:rFonts w:ascii="Arial" w:cs="Arial" w:eastAsia="Arial" w:hAnsi="Arial"/>
          <w:sz w:val="22"/>
          <w:szCs w:val="22"/>
        </w:rPr>
        <w:t xml:space="preserve">Bank account statements for all accounts</w:t>
      </w:r>
    </w:p>
    <w:p>
      <w:pPr>
        <w:pStyle w:val="ListParagraph"/>
        <w:numPr>
          <w:ilvl w:val="0"/>
          <w:numId w:val="2"/>
        </w:numPr>
        <w:spacing w:after="80"/>
      </w:pPr>
      <w:r>
        <w:rPr>
          <w:rFonts w:ascii="Arial" w:cs="Arial" w:eastAsia="Arial" w:hAnsi="Arial"/>
          <w:sz w:val="22"/>
          <w:szCs w:val="22"/>
        </w:rPr>
        <w:t xml:space="preserve">Investment proofs: LIC, PPF, ELSS, NSC, home loan certificates</w:t>
      </w:r>
    </w:p>
    <w:p>
      <w:pPr>
        <w:pStyle w:val="ListParagraph"/>
        <w:numPr>
          <w:ilvl w:val="0"/>
          <w:numId w:val="2"/>
        </w:numPr>
        <w:spacing w:after="80"/>
      </w:pPr>
      <w:r>
        <w:rPr>
          <w:rFonts w:ascii="Arial" w:cs="Arial" w:eastAsia="Arial" w:hAnsi="Arial"/>
          <w:sz w:val="22"/>
          <w:szCs w:val="22"/>
        </w:rPr>
        <w:t xml:space="preserve">Rent receipts (if claiming HRA)</w:t>
      </w:r>
    </w:p>
    <w:p>
      <w:pPr>
        <w:pStyle w:val="ListParagraph"/>
        <w:numPr>
          <w:ilvl w:val="0"/>
          <w:numId w:val="2"/>
        </w:numPr>
        <w:spacing w:after="80"/>
      </w:pPr>
      <w:r>
        <w:rPr>
          <w:rFonts w:ascii="Arial" w:cs="Arial" w:eastAsia="Arial" w:hAnsi="Arial"/>
          <w:sz w:val="22"/>
          <w:szCs w:val="22"/>
        </w:rPr>
        <w:t xml:space="preserve">Capital gains statements from broker (if any)</w:t>
      </w:r>
    </w:p>
    <w:p>
      <w:pPr>
        <w:spacing w:after="100"/>
      </w:pPr>
    </w:p>
    <w:p>
      <w:pPr>
        <w:spacing w:before="200" w:after="80"/>
      </w:pPr>
      <w:r>
        <w:rPr>
          <w:rFonts w:ascii="Arial" w:cs="Arial" w:eastAsia="Arial" w:hAnsi="Arial"/>
          <w:b/>
          <w:bCs/>
          <w:color w:val="3949AB"/>
          <w:sz w:val="24"/>
          <w:szCs w:val="24"/>
        </w:rPr>
        <w:t xml:space="preserve">4. Key Deductions (Old Tax Regime)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5000"/>
        <w:gridCol w:w="2360"/>
      </w:tblGrid>
      <w:tr>
        <w:tc>
          <w:tcPr>
            <w:tcW w:type="dxa" w:w="2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Section</w:t>
            </w:r>
          </w:p>
        </w:tc>
        <w:tc>
          <w:tcPr>
            <w:tcW w:type="dxa" w:w="5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Deduction</w:t>
            </w:r>
          </w:p>
        </w:tc>
        <w:tc>
          <w:tcPr>
            <w:tcW w:type="dxa" w:w="236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Limit (INR)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80C</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PF, PPF, LIC, ELSS, NSC, tuition fees, home loan principal</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1,50,000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80D</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Health insurance premium (self + family)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25,000 – 75,000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80E</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Interest on education loan</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 limit (8 years)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80TTA</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Interest on savings account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10,000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Section 24(b)</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Home loan interest (self-occupied)</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2,00,000</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HRA</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House Rent Allowance (min of actual/salary formula/rent)</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As calculated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Standard Deduction</w:t>
            </w:r>
          </w:p>
        </w:tc>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Flat deduction from salary</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50,000</w:t>
            </w:r>
          </w:p>
        </w:tc>
      </w:tr>
    </w:tbl>
    <w:p>
      <w:pPr>
        <w:spacing w:after="100"/>
      </w:pPr>
    </w:p>
    <w:p>
      <w:pPr>
        <w:spacing w:before="200" w:after="80"/>
      </w:pPr>
      <w:r>
        <w:rPr>
          <w:rFonts w:ascii="Arial" w:cs="Arial" w:eastAsia="Arial" w:hAnsi="Arial"/>
          <w:b/>
          <w:bCs/>
          <w:color w:val="3949AB"/>
          <w:sz w:val="24"/>
          <w:szCs w:val="24"/>
        </w:rPr>
        <w:t xml:space="preserve">5. New Tax Regime vs Old Tax Regime</w:t>
      </w:r>
    </w:p>
    <w:p>
      <w:pPr>
        <w:spacing w:after="120"/>
      </w:pPr>
      <w:r>
        <w:rPr>
          <w:rFonts w:ascii="Arial" w:cs="Arial" w:eastAsia="Arial" w:hAnsi="Arial"/>
          <w:sz w:val="22"/>
          <w:szCs w:val="22"/>
        </w:rPr>
        <w:t xml:space="preserve">New Regime (default from FY 2023-24 onwards): Lower tax slabs but most deductions (80C, 80D, HRA etc.) not available. Suitable if deductions are low.</w:t>
      </w:r>
    </w:p>
    <w:p>
      <w:pPr>
        <w:spacing w:after="120"/>
      </w:pPr>
      <w:r>
        <w:rPr>
          <w:rFonts w:ascii="Arial" w:cs="Arial" w:eastAsia="Arial" w:hAnsi="Arial"/>
          <w:sz w:val="22"/>
          <w:szCs w:val="22"/>
        </w:rPr>
        <w:t xml:space="preserve">Old Regime: Higher slab rates but allows all deductions. Suitable if you have significant investments and deductions.</w:t>
      </w:r>
    </w:p>
    <w:p>
      <w:pPr>
        <w:spacing w:after="120"/>
      </w:pPr>
      <w:r>
        <w:rPr>
          <w:rFonts w:ascii="Arial" w:cs="Arial" w:eastAsia="Arial" w:hAnsi="Arial"/>
          <w:sz w:val="22"/>
          <w:szCs w:val="22"/>
        </w:rPr>
        <w:t xml:space="preserve">You can switch between regimes annually. Consult a CA to determine which is better for your situation.</w:t>
      </w:r>
    </w:p>
    <w:p>
      <w:pPr>
        <w:spacing w:after="100"/>
      </w:pPr>
    </w:p>
    <w:p>
      <w:pPr>
        <w:spacing w:before="200" w:after="80"/>
      </w:pPr>
      <w:r>
        <w:rPr>
          <w:rFonts w:ascii="Arial" w:cs="Arial" w:eastAsia="Arial" w:hAnsi="Arial"/>
          <w:b/>
          <w:bCs/>
          <w:color w:val="3949AB"/>
          <w:sz w:val="24"/>
          <w:szCs w:val="24"/>
        </w:rPr>
        <w:t xml:space="preserve">6. ITR Filing Deadline</w:t>
      </w:r>
    </w:p>
    <w:p>
      <w:pPr>
        <w:spacing w:after="120"/>
      </w:pPr>
      <w:r>
        <w:rPr>
          <w:rFonts w:ascii="Arial" w:cs="Arial" w:eastAsia="Arial" w:hAnsi="Arial"/>
          <w:sz w:val="22"/>
          <w:szCs w:val="22"/>
        </w:rPr>
        <w:t xml:space="preserve">For salaried individuals: July 31 of the assessment year (e.g., July 31, 2024 for FY 2023-24).</w:t>
      </w:r>
    </w:p>
    <w:p>
      <w:pPr>
        <w:spacing w:after="120"/>
      </w:pPr>
      <w:r>
        <w:rPr>
          <w:rFonts w:ascii="Arial" w:cs="Arial" w:eastAsia="Arial" w:hAnsi="Arial"/>
          <w:sz w:val="22"/>
          <w:szCs w:val="22"/>
        </w:rPr>
        <w:t xml:space="preserve">Belated returns can be filed by December 31 with a penalty.</w:t>
      </w:r>
    </w:p>
    <w:p>
      <w:pPr>
        <w:spacing w:after="120"/>
      </w:pPr>
      <w:r>
        <w:rPr>
          <w:rFonts w:ascii="Arial" w:cs="Arial" w:eastAsia="Arial" w:hAnsi="Arial"/>
          <w:sz w:val="22"/>
          <w:szCs w:val="22"/>
        </w:rPr>
        <w:t xml:space="preserve">File ITR at: https://www.incometax.gov.in/</w:t>
      </w:r>
    </w:p>
    <w:p>
      <w:pPr>
        <w:spacing w:after="100"/>
      </w:pPr>
    </w:p>
    <w:p>
      <w:pPr>
        <w:spacing w:after="120"/>
      </w:pPr>
      <w:r>
        <w:rPr>
          <w:rFonts w:ascii="Arial" w:cs="Arial" w:eastAsia="Arial" w:hAnsi="Arial"/>
          <w:color w:val="555555"/>
          <w:sz w:val="22"/>
          <w:szCs w:val="22"/>
        </w:rPr>
        <w:t xml:space="preserve">Disclaimer: This is a general reference guide for informational purposes only. Tax laws are subject to change. BlackLoverTech does not provide tax advice. Employees are encouraged to consult a qualified Chartered Accountant (CA) for personalized guidance.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2026-02-24T13:56:27.382Z</dcterms:created>
  <dcterms:modified xsi:type="dcterms:W3CDTF">2026-02-24T13:56:27.382Z</dcterms:modified>
</cp:coreProperties>
</file>

<file path=docProps/custom.xml><?xml version="1.0" encoding="utf-8"?>
<Properties xmlns="http://schemas.openxmlformats.org/officeDocument/2006/custom-properties" xmlns:vt="http://schemas.openxmlformats.org/officeDocument/2006/docPropsVTypes"/>
</file>