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FULL &amp; FINAL SETTLEMENT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[BLT/HR/FNF/2024/___]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With reference to your separation from BlackLoverTech (Last Working Day: [DD/MM/YYYY]), we are pleased to present your Full &amp; Final Settlement statement. The settlement will be processed within 45 working days of your last working day.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Employee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Name: </w:t>
      </w: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Designation: </w:t>
      </w: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Joining: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Last Working Day: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Tenure: </w:t>
      </w:r>
      <w:r>
        <w:rPr>
          <w:rFonts w:ascii="Arial" w:cs="Arial" w:eastAsia="Arial" w:hAnsi="Arial"/>
          <w:sz w:val="22"/>
          <w:szCs w:val="22"/>
        </w:rPr>
        <w:t xml:space="preserve">[X Years Y Months]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Settlement Calculation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60"/>
        <w:gridCol w:w="3500"/>
      </w:tblGrid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Description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 (INR)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Salary for last working month (pro-rated)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Earned Leave Encashment ([X days @ INR Y/day])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Notice Pay Receivable (if applicable)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Pending Reimbursements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Bonus / Incentive Due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Gratuity (if applicable — tenure &gt; 1 year, ex-gratia)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AMOUNT PAYABLE TO EMPLOYEE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[Total]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LESS: Notice Pay Recovery (if applicable)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LESS: Outstanding Advances / Loans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LESS: Other Recoveries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NET AMOUNT PAYABLE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INR [Final Net]</w:t>
            </w:r>
          </w:p>
        </w:tc>
      </w:tr>
    </w:tbl>
    <w:p>
      <w:pPr>
        <w:spacing w:after="1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Payment Mode: </w:t>
      </w:r>
      <w:r>
        <w:rPr>
          <w:rFonts w:ascii="Arial" w:cs="Arial" w:eastAsia="Arial" w:hAnsi="Arial"/>
          <w:sz w:val="22"/>
          <w:szCs w:val="22"/>
        </w:rPr>
        <w:t xml:space="preserve">[ ] Bank Transfer   [ ] Cheque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Bank Account No.: </w:t>
      </w:r>
      <w:r>
        <w:rPr>
          <w:rFonts w:ascii="Arial" w:cs="Arial" w:eastAsia="Arial" w:hAnsi="Arial"/>
          <w:sz w:val="22"/>
          <w:szCs w:val="22"/>
        </w:rPr>
        <w:t xml:space="preserve">[Employee Account No.]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IFSC Code: </w:t>
      </w:r>
      <w:r>
        <w:rPr>
          <w:rFonts w:ascii="Arial" w:cs="Arial" w:eastAsia="Arial" w:hAnsi="Arial"/>
          <w:sz w:val="22"/>
          <w:szCs w:val="22"/>
        </w:rPr>
        <w:t xml:space="preserve">[IFSC]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Expected Payment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Note: PF is not applicable. Gratuity is payable ex-gratia as the organization is a startup below statutory thresholds.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By signing below, the employee acknowledges receipt of this settlement statement and agrees that this constitutes full and final discharge of all financial obligations between the parties.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Finance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Acceptance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2026-02-24T13:56:27.312Z</dcterms:created>
  <dcterms:modified xsi:type="dcterms:W3CDTF">2026-02-24T13:56:27.312Z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